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52"/>
      </w:tblGrid>
      <w:tr w:rsidR="00076B48" w:rsidTr="00C13CC7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Default="00076B48" w:rsidP="00C13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ФИО: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48" w:rsidRDefault="00076B48" w:rsidP="00C13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76B48" w:rsidTr="00C13CC7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Default="00076B48" w:rsidP="00C13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48" w:rsidRDefault="00076B48" w:rsidP="00C13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76B48" w:rsidTr="00C13CC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Default="00076B48" w:rsidP="00C13C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48" w:rsidRDefault="00076B48" w:rsidP="00C13CC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76B48" w:rsidRDefault="00076B48" w:rsidP="00076B48">
      <w:pPr>
        <w:spacing w:line="240" w:lineRule="auto"/>
        <w:rPr>
          <w:rFonts w:ascii="Arial" w:hAnsi="Arial" w:cs="Arial"/>
          <w:sz w:val="20"/>
          <w:szCs w:val="20"/>
        </w:rPr>
      </w:pPr>
    </w:p>
    <w:p w:rsidR="00076B48" w:rsidRDefault="00076B48" w:rsidP="00076B4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:rsidR="00076B48" w:rsidRDefault="00076B48" w:rsidP="00076B4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Советы выполняющим тест:</w:t>
      </w:r>
    </w:p>
    <w:p w:rsidR="00076B48" w:rsidRDefault="00076B48" w:rsidP="00076B48">
      <w:pPr>
        <w:pStyle w:val="a6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не спешите, важно выполнить тест не быстро, а качественно;</w:t>
      </w:r>
    </w:p>
    <w:p w:rsidR="00076B48" w:rsidRDefault="00076B48" w:rsidP="00076B48">
      <w:pPr>
        <w:pStyle w:val="a6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сначала прочитайте весь текст, чтобы понять, о чем речь;</w:t>
      </w:r>
    </w:p>
    <w:p w:rsidR="00076B48" w:rsidRDefault="00076B48" w:rsidP="00076B48">
      <w:pPr>
        <w:pStyle w:val="a6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если текст для Вас слишком сложен, лучше откажитесь от его перевода;</w:t>
      </w:r>
    </w:p>
    <w:p w:rsidR="00076B48" w:rsidRDefault="00076B48" w:rsidP="00076B48">
      <w:pPr>
        <w:pStyle w:val="a6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следите за тем, чтобы перевод был максимально точным и адекватным;</w:t>
      </w:r>
    </w:p>
    <w:p w:rsidR="00076B48" w:rsidRDefault="00076B48" w:rsidP="00076B48">
      <w:pPr>
        <w:pStyle w:val="a6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проверяйте значения слов в словарях и справочниках;</w:t>
      </w:r>
    </w:p>
    <w:p w:rsidR="00076B48" w:rsidRDefault="00076B48" w:rsidP="00076B48">
      <w:pPr>
        <w:pStyle w:val="a6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:rsidR="00076B48" w:rsidRDefault="00076B48" w:rsidP="00076B48">
      <w:pPr>
        <w:pStyle w:val="a6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:rsidR="00076B48" w:rsidRDefault="00076B48" w:rsidP="00076B48">
      <w:pPr>
        <w:pStyle w:val="a6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не прибегайте к машинному переводу!</w:t>
      </w:r>
    </w:p>
    <w:p w:rsidR="00076B48" w:rsidRPr="004C777B" w:rsidRDefault="00076B48" w:rsidP="00076B48">
      <w:pPr>
        <w:spacing w:after="0" w:line="240" w:lineRule="auto"/>
        <w:rPr>
          <w:rFonts w:ascii="Times New Roman" w:hAnsi="Times New Roman"/>
        </w:rPr>
      </w:pPr>
      <w:r w:rsidRPr="004C777B">
        <w:rPr>
          <w:rFonts w:ascii="Arial" w:hAnsi="Arial" w:cs="Arial"/>
          <w:b/>
          <w:i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56"/>
      </w:tblGrid>
      <w:tr w:rsidR="00076B48" w:rsidRPr="004C777B" w:rsidTr="00C13CC7">
        <w:tc>
          <w:tcPr>
            <w:tcW w:w="4785" w:type="dxa"/>
            <w:shd w:val="clear" w:color="auto" w:fill="BFBFBF"/>
          </w:tcPr>
          <w:p w:rsidR="00076B48" w:rsidRPr="004C777B" w:rsidRDefault="00076B48" w:rsidP="00C13CC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C777B">
              <w:rPr>
                <w:rFonts w:ascii="Times New Roman" w:eastAsia="Times New Roman" w:hAnsi="Times New Roman"/>
                <w:b/>
              </w:rPr>
              <w:lastRenderedPageBreak/>
              <w:t>Оригинал</w:t>
            </w:r>
          </w:p>
        </w:tc>
        <w:tc>
          <w:tcPr>
            <w:tcW w:w="4786" w:type="dxa"/>
            <w:shd w:val="clear" w:color="auto" w:fill="BFBFBF"/>
          </w:tcPr>
          <w:p w:rsidR="00076B48" w:rsidRPr="004C777B" w:rsidRDefault="00076B48" w:rsidP="00C13CC7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4C777B">
              <w:rPr>
                <w:rFonts w:ascii="Times New Roman" w:hAnsi="Times New Roman"/>
                <w:b/>
              </w:rPr>
              <w:t>Перевод</w:t>
            </w:r>
          </w:p>
        </w:tc>
      </w:tr>
      <w:tr w:rsidR="00076B48" w:rsidRPr="004C777B" w:rsidTr="00C13CC7">
        <w:tc>
          <w:tcPr>
            <w:tcW w:w="4785" w:type="dxa"/>
          </w:tcPr>
          <w:p w:rsidR="00076B48" w:rsidRPr="001452E0" w:rsidRDefault="00076B48" w:rsidP="00C13C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1452E0">
              <w:rPr>
                <w:rFonts w:ascii="Times New Roman" w:hAnsi="Times New Roman"/>
                <w:b/>
                <w:lang w:val="de-DE"/>
              </w:rPr>
              <w:t>Epikrise Nr.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de-DE"/>
              </w:rPr>
            </w:pPr>
            <w:r w:rsidRPr="001452E0">
              <w:rPr>
                <w:rFonts w:ascii="Times New Roman" w:hAnsi="Times New Roman"/>
                <w:b/>
                <w:lang w:val="de-DE"/>
              </w:rPr>
              <w:t>Aufnahmedatum: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b/>
                <w:lang w:val="de-DE"/>
              </w:rPr>
              <w:t>Entlassungsdatum: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de-DE"/>
              </w:rPr>
            </w:pPr>
            <w:r w:rsidRPr="001452E0">
              <w:rPr>
                <w:rFonts w:ascii="Times New Roman" w:hAnsi="Times New Roman"/>
                <w:b/>
                <w:lang w:val="de-DE"/>
              </w:rPr>
              <w:t>Anamnese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 xml:space="preserve">Aktuell: Frau, 19.01.1985*, stellt sich wegen starker Rötungen und Pusteln im Gesicht bei unserer Klinik vor. </w:t>
            </w:r>
            <w:r>
              <w:rPr>
                <w:rFonts w:ascii="Times New Roman" w:hAnsi="Times New Roman"/>
                <w:lang w:val="de-DE"/>
              </w:rPr>
              <w:t xml:space="preserve">Bei der Patientin ist Rosacea zentrofazial, die </w:t>
            </w:r>
            <w:r w:rsidRPr="00BA4B54">
              <w:rPr>
                <w:rFonts w:ascii="Times New Roman" w:hAnsi="Times New Roman"/>
                <w:lang w:val="de-DE"/>
              </w:rPr>
              <w:t>hautpsächlich die Nase, Wangen, Stirn, Kinn und Glabella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BA4B54">
              <w:rPr>
                <w:rFonts w:ascii="Times New Roman" w:hAnsi="Times New Roman"/>
                <w:lang w:val="de-DE"/>
              </w:rPr>
              <w:t xml:space="preserve">betrifft. </w:t>
            </w:r>
            <w:r w:rsidRPr="001452E0">
              <w:rPr>
                <w:rFonts w:ascii="Times New Roman" w:hAnsi="Times New Roman"/>
                <w:lang w:val="de-DE"/>
              </w:rPr>
              <w:t>Es gibt keine anderen betroffenen Körperpartien. Fieber oder Schüttelfrost verneit.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>Allergische Anamnese: unbelastet.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>Familienanamnese: unbelastet.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de-DE"/>
              </w:rPr>
            </w:pPr>
            <w:r w:rsidRPr="001452E0">
              <w:rPr>
                <w:rFonts w:ascii="Times New Roman" w:hAnsi="Times New Roman"/>
                <w:b/>
                <w:lang w:val="de-DE"/>
              </w:rPr>
              <w:t>Körperliche Untersuchung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 xml:space="preserve">Die Patientin ist </w:t>
            </w:r>
            <w:proofErr w:type="gramStart"/>
            <w:r w:rsidRPr="001452E0">
              <w:rPr>
                <w:rFonts w:ascii="Times New Roman" w:hAnsi="Times New Roman"/>
                <w:lang w:val="de-DE"/>
              </w:rPr>
              <w:t>bei gutem, altersgemäßen Allgemein- und Ernährungszustand</w:t>
            </w:r>
            <w:proofErr w:type="gramEnd"/>
            <w:r w:rsidRPr="001452E0">
              <w:rPr>
                <w:rFonts w:ascii="Times New Roman" w:hAnsi="Times New Roman"/>
                <w:lang w:val="de-DE"/>
              </w:rPr>
              <w:t xml:space="preserve"> und ist wach und orientiert.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>Pulmo: Über allen Lungenfeldern ist ein vesikuläres Atemgeräusch zu hören. Keine Rasseln und Nebengeräusche.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>Cor: HF 80 bpm. Blutdruck 120/80. Herztöne sind rein und rhythmisch.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>Abdomen: Keine Resistenzen oder Abwehrspannungen, die Peristaltik ist über allen vier Quadranten rege und die Nierenlager klopfschmerzfrei bds.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de-DE"/>
              </w:rPr>
            </w:pPr>
            <w:r w:rsidRPr="001452E0">
              <w:rPr>
                <w:rFonts w:ascii="Times New Roman" w:hAnsi="Times New Roman"/>
                <w:b/>
                <w:lang w:val="de-DE"/>
              </w:rPr>
              <w:t>Diagnosen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>Hauptdiagnose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i/>
                <w:lang w:val="de-DE"/>
              </w:rPr>
              <w:t>Rosazea fulminans</w:t>
            </w:r>
            <w:r w:rsidRPr="001452E0">
              <w:rPr>
                <w:rFonts w:ascii="Times New Roman" w:hAnsi="Times New Roman"/>
                <w:lang w:val="de-DE"/>
              </w:rPr>
              <w:t xml:space="preserve"> (Maximalvariante der Rosacea)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>Nebendiagnose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 w:rsidRPr="001452E0"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Mittelgradige Myopie OU</w:t>
            </w:r>
          </w:p>
          <w:p w:rsidR="00076B48" w:rsidRPr="001452E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de-DE"/>
              </w:rPr>
              <w:t>Therapie/Verlauf</w:t>
            </w:r>
          </w:p>
          <w:p w:rsidR="00076B48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52E0">
              <w:rPr>
                <w:rFonts w:ascii="Times New Roman" w:hAnsi="Times New Roman"/>
                <w:lang w:val="de-DE"/>
              </w:rPr>
              <w:t>1) topische Medikamente:</w:t>
            </w:r>
          </w:p>
          <w:p w:rsidR="00076B48" w:rsidRDefault="00076B48" w:rsidP="00C13CC7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lang w:val="de-DE"/>
              </w:rPr>
              <w:tab/>
            </w:r>
            <w:r w:rsidRPr="001452E0">
              <w:rPr>
                <w:rFonts w:ascii="Times New Roman" w:hAnsi="Times New Roman"/>
                <w:lang w:val="de-DE"/>
              </w:rPr>
              <w:t>Metronidazol 0,75% Creme (auch Erhaltungstherapie)</w:t>
            </w:r>
          </w:p>
          <w:p w:rsidR="00076B48" w:rsidRDefault="00076B48" w:rsidP="00C13CC7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lang w:val="de-DE"/>
              </w:rPr>
              <w:tab/>
            </w:r>
            <w:r w:rsidRPr="001452E0">
              <w:rPr>
                <w:rFonts w:ascii="Times New Roman" w:hAnsi="Times New Roman"/>
                <w:lang w:val="de-DE"/>
              </w:rPr>
              <w:t>Azelainsäure (15% Gel, 20% Creme)</w:t>
            </w:r>
          </w:p>
          <w:p w:rsidR="00076B48" w:rsidRDefault="00076B48" w:rsidP="00C13CC7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lang w:val="de-DE"/>
              </w:rPr>
              <w:tab/>
            </w:r>
            <w:r w:rsidRPr="001452E0">
              <w:rPr>
                <w:rFonts w:ascii="Times New Roman" w:hAnsi="Times New Roman"/>
                <w:lang w:val="de-DE"/>
              </w:rPr>
              <w:t>Adapalen (Retinoid) – Wirkung auf entzündliche Läsionen</w:t>
            </w:r>
          </w:p>
          <w:p w:rsidR="00076B48" w:rsidRPr="00FD1880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de-DE"/>
              </w:rPr>
              <w:t>2) systemische Medikamente</w:t>
            </w:r>
            <w:r w:rsidRPr="00FD1880">
              <w:rPr>
                <w:rFonts w:ascii="Times New Roman" w:hAnsi="Times New Roman"/>
                <w:lang w:val="en-US"/>
              </w:rPr>
              <w:t>:</w:t>
            </w:r>
          </w:p>
          <w:p w:rsidR="00076B48" w:rsidRDefault="00076B48" w:rsidP="00C13C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lang w:val="de-DE"/>
              </w:rPr>
              <w:tab/>
            </w:r>
            <w:r w:rsidRPr="008913A0">
              <w:rPr>
                <w:rFonts w:ascii="Times New Roman" w:hAnsi="Times New Roman"/>
                <w:lang w:val="de-DE"/>
              </w:rPr>
              <w:t>Doxycyclin 2x 100mg/d</w:t>
            </w:r>
          </w:p>
          <w:p w:rsidR="00076B48" w:rsidRDefault="00076B48" w:rsidP="00C13C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lang w:val="de-DE"/>
              </w:rPr>
              <w:tab/>
            </w:r>
            <w:r w:rsidRPr="008913A0">
              <w:rPr>
                <w:rFonts w:ascii="Times New Roman" w:hAnsi="Times New Roman"/>
                <w:lang w:val="de-DE"/>
              </w:rPr>
              <w:t>Clarithromycin (2 x 250mg/d für 4 Wochen, 1 x 250mg/d für weitere 4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8913A0">
              <w:rPr>
                <w:rFonts w:ascii="Times New Roman" w:hAnsi="Times New Roman"/>
                <w:lang w:val="de-DE"/>
              </w:rPr>
              <w:t>Wochen)</w:t>
            </w:r>
          </w:p>
          <w:p w:rsidR="00076B48" w:rsidRDefault="00076B48" w:rsidP="00C13C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</w:t>
            </w:r>
            <w:r>
              <w:rPr>
                <w:rFonts w:ascii="Times New Roman" w:hAnsi="Times New Roman"/>
                <w:lang w:val="de-DE"/>
              </w:rPr>
              <w:tab/>
            </w:r>
            <w:r w:rsidRPr="008913A0">
              <w:rPr>
                <w:rFonts w:ascii="Times New Roman" w:hAnsi="Times New Roman"/>
                <w:lang w:val="de-DE"/>
              </w:rPr>
              <w:t>Metronidazol 2 x 200mg/d (in Kombination mit Hdyrokortisoncreme 1%)</w:t>
            </w:r>
          </w:p>
          <w:p w:rsidR="00076B48" w:rsidRDefault="00076B48" w:rsidP="00C13C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  <w:p w:rsidR="00076B48" w:rsidRPr="00FD1880" w:rsidRDefault="00076B48" w:rsidP="00C13C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80C14">
              <w:rPr>
                <w:rFonts w:ascii="Times New Roman" w:hAnsi="Times New Roman"/>
                <w:lang w:val="de-DE"/>
              </w:rPr>
              <w:t>Für unsere Patienten wird eine syst</w:t>
            </w:r>
            <w:r>
              <w:rPr>
                <w:rFonts w:ascii="Times New Roman" w:hAnsi="Times New Roman"/>
                <w:lang w:val="de-DE"/>
              </w:rPr>
              <w:t>emische Therapie mit Doxycyclin</w:t>
            </w:r>
            <w:r w:rsidRPr="00A80C14">
              <w:rPr>
                <w:rFonts w:ascii="Times New Roman" w:hAnsi="Times New Roman"/>
                <w:lang w:val="de-DE"/>
              </w:rPr>
              <w:t xml:space="preserve"> bevorzugt, da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A80C14">
              <w:rPr>
                <w:rFonts w:ascii="Times New Roman" w:hAnsi="Times New Roman"/>
                <w:lang w:val="de-DE"/>
              </w:rPr>
              <w:t xml:space="preserve">sie schwanger ist und Doxycylin im 1. Trimenon nicht </w:t>
            </w:r>
            <w:r w:rsidRPr="00A80C14">
              <w:rPr>
                <w:rFonts w:ascii="Times New Roman" w:hAnsi="Times New Roman"/>
                <w:lang w:val="de-DE"/>
              </w:rPr>
              <w:lastRenderedPageBreak/>
              <w:t>teratogen ist. Weiterhin ist eine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A80C14">
              <w:rPr>
                <w:rFonts w:ascii="Times New Roman" w:hAnsi="Times New Roman"/>
                <w:lang w:val="de-DE"/>
              </w:rPr>
              <w:t>Therapie mit Clarithromycin möglich, wenn die Beschwerden längerfristig durch die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A80C14">
              <w:rPr>
                <w:rFonts w:ascii="Times New Roman" w:hAnsi="Times New Roman"/>
                <w:lang w:val="de-DE"/>
              </w:rPr>
              <w:t>Schwangerschaft bestehen bleiben.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r w:rsidRPr="00A80C14">
              <w:rPr>
                <w:rFonts w:ascii="Times New Roman" w:hAnsi="Times New Roman"/>
                <w:lang w:val="de-DE"/>
              </w:rPr>
              <w:t>Die Patientin hat sehr gut gehandelt, als sie das Antibiotikum mit Erythromycin nichteingenommen hat, denn dieses ist teratogen.</w:t>
            </w:r>
          </w:p>
        </w:tc>
        <w:tc>
          <w:tcPr>
            <w:tcW w:w="4786" w:type="dxa"/>
          </w:tcPr>
          <w:p w:rsidR="00076B48" w:rsidRPr="004C777B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</w:p>
        </w:tc>
      </w:tr>
    </w:tbl>
    <w:p w:rsidR="00076B48" w:rsidRPr="004C777B" w:rsidRDefault="00076B48" w:rsidP="00076B48">
      <w:pPr>
        <w:spacing w:after="0" w:line="240" w:lineRule="auto"/>
        <w:rPr>
          <w:rFonts w:ascii="Times New Roman" w:hAnsi="Times New Roman"/>
          <w:lang w:val="de-DE"/>
        </w:rPr>
      </w:pPr>
      <w:r w:rsidRPr="004C777B">
        <w:rPr>
          <w:rFonts w:ascii="Times New Roman" w:hAnsi="Times New Roman"/>
          <w:lang w:val="de-DE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4643"/>
      </w:tblGrid>
      <w:tr w:rsidR="00076B48" w:rsidRPr="004C777B" w:rsidTr="00C13CC7">
        <w:tc>
          <w:tcPr>
            <w:tcW w:w="4785" w:type="dxa"/>
            <w:shd w:val="clear" w:color="auto" w:fill="BFBFBF"/>
          </w:tcPr>
          <w:p w:rsidR="00076B48" w:rsidRPr="004C777B" w:rsidRDefault="00076B48" w:rsidP="00C13CC7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C777B">
              <w:rPr>
                <w:rFonts w:ascii="Times New Roman" w:eastAsia="Times New Roman" w:hAnsi="Times New Roman"/>
                <w:b/>
              </w:rPr>
              <w:lastRenderedPageBreak/>
              <w:t>Оригинал</w:t>
            </w:r>
          </w:p>
        </w:tc>
        <w:tc>
          <w:tcPr>
            <w:tcW w:w="4786" w:type="dxa"/>
            <w:shd w:val="clear" w:color="auto" w:fill="BFBFBF"/>
          </w:tcPr>
          <w:p w:rsidR="00076B48" w:rsidRPr="004C777B" w:rsidRDefault="00076B48" w:rsidP="00C13CC7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4C777B">
              <w:rPr>
                <w:rFonts w:ascii="Times New Roman" w:hAnsi="Times New Roman"/>
                <w:b/>
              </w:rPr>
              <w:t>Перевод</w:t>
            </w:r>
          </w:p>
        </w:tc>
      </w:tr>
      <w:tr w:rsidR="00076B48" w:rsidRPr="00870F9A" w:rsidTr="00C13CC7">
        <w:tc>
          <w:tcPr>
            <w:tcW w:w="4785" w:type="dxa"/>
          </w:tcPr>
          <w:p w:rsidR="00076B48" w:rsidRPr="00870F9A" w:rsidRDefault="00076B48" w:rsidP="00C13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1" w:name="linkContainere13"/>
            <w:bookmarkEnd w:id="1"/>
            <w:r w:rsidRPr="00870F9A">
              <w:rPr>
                <w:rFonts w:ascii="Times New Roman" w:eastAsia="Times New Roman" w:hAnsi="Times New Roman"/>
                <w:b/>
                <w:lang w:eastAsia="ru-RU"/>
              </w:rPr>
              <w:t>Клинический случай</w:t>
            </w:r>
          </w:p>
          <w:p w:rsidR="00076B48" w:rsidRPr="00870F9A" w:rsidRDefault="00076B48" w:rsidP="00C13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0F9A">
              <w:rPr>
                <w:rFonts w:ascii="Times New Roman" w:eastAsia="Times New Roman" w:hAnsi="Times New Roman"/>
                <w:lang w:eastAsia="ru-RU"/>
              </w:rPr>
              <w:t>Пациентка 23 года, обратилась с жалобами на дискомфорт и сухость глаз, дрожь во всем теле, постоянное чувство жара и духоты, потливость, учащенное сердцебиение, беспричинную потерю массы тела (10 кг за месяц), раздражительность и нервозность, головные боли, учащение стула (до 10 раз в день). Выполнено УЗИ щитовидной железы, по данным которого выявлено увеличение объема щитовидной железы (26,2 см</w:t>
            </w:r>
            <w:r w:rsidRPr="00870F9A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870F9A">
              <w:rPr>
                <w:rFonts w:ascii="Times New Roman" w:eastAsia="Times New Roman" w:hAnsi="Times New Roman"/>
                <w:lang w:eastAsia="ru-RU"/>
              </w:rPr>
              <w:t>), а также диффузные изменения паренхимы щитовидной железы по типу АИТ.</w:t>
            </w:r>
          </w:p>
          <w:p w:rsidR="00076B48" w:rsidRPr="00870F9A" w:rsidRDefault="00076B48" w:rsidP="00C13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0F9A">
              <w:rPr>
                <w:rFonts w:ascii="Times New Roman" w:eastAsia="Times New Roman" w:hAnsi="Times New Roman"/>
                <w:b/>
                <w:lang w:eastAsia="ru-RU"/>
              </w:rPr>
              <w:t>Объективный осмотр:</w:t>
            </w:r>
            <w:r w:rsidRPr="00870F9A">
              <w:rPr>
                <w:rFonts w:ascii="Times New Roman" w:eastAsia="Times New Roman" w:hAnsi="Times New Roman"/>
                <w:lang w:eastAsia="ru-RU"/>
              </w:rPr>
              <w:t xml:space="preserve"> нормостеник, ИМТ – 19 кг/м</w:t>
            </w:r>
            <w:r w:rsidRPr="00870F9A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870F9A">
              <w:rPr>
                <w:rFonts w:ascii="Times New Roman" w:eastAsia="Times New Roman" w:hAnsi="Times New Roman"/>
                <w:lang w:eastAsia="ru-RU"/>
              </w:rPr>
              <w:t>, окружность талии – 67 см. Щитовидная железа визуально увеличена в объеме, при пальпации плотная, однородной консистенции.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0F9A">
              <w:rPr>
                <w:rFonts w:ascii="Times New Roman" w:eastAsia="Times New Roman" w:hAnsi="Times New Roman"/>
                <w:lang w:eastAsia="ru-RU"/>
              </w:rPr>
              <w:t>Жалобы пациентки и данные объективного обследования указывают на синдром тиреотоксикоза. Для подтверждения данного синдрома было проведено определение гормонов щитовидной железы: ТТГ – 0,005 мМЕ/л (0,17 – 4,04 мМЕ/л), свободный Т</w:t>
            </w:r>
            <w:proofErr w:type="gramStart"/>
            <w:r w:rsidRPr="00870F9A">
              <w:rPr>
                <w:rFonts w:ascii="Times New Roman" w:eastAsia="Times New Roman" w:hAnsi="Times New Roman"/>
                <w:lang w:eastAsia="ru-RU"/>
              </w:rPr>
              <w:t>3 &gt;</w:t>
            </w:r>
            <w:proofErr w:type="gramEnd"/>
            <w:r w:rsidRPr="00870F9A">
              <w:rPr>
                <w:rFonts w:ascii="Times New Roman" w:eastAsia="Times New Roman" w:hAnsi="Times New Roman"/>
                <w:lang w:eastAsia="ru-RU"/>
              </w:rPr>
              <w:t xml:space="preserve"> 41,0 пмоль/л (2,5 – 5,8 пмоль/л), свободный Т4 &gt; 76,0 пмоль/л (11,5 – 23,0 пмоль/л). Повторно выполнено УЗИ щитовидной железы, по данным которого общий объем щитовидной железы составляет 65,6 см3 (правая доля – 40,5 см</w:t>
            </w:r>
            <w:r w:rsidRPr="00870F9A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 w:rsidRPr="00870F9A">
              <w:rPr>
                <w:rFonts w:ascii="Times New Roman" w:eastAsia="Times New Roman" w:hAnsi="Times New Roman"/>
                <w:lang w:eastAsia="ru-RU"/>
              </w:rPr>
              <w:t>, левая доля – 26,1 см3), эхогенность повышена, паренхима гиперваскуляризирована, скорость кровотока в щитовидных артериях V</w:t>
            </w:r>
            <w:r w:rsidRPr="00870F9A">
              <w:rPr>
                <w:rFonts w:ascii="Times New Roman" w:eastAsia="Times New Roman" w:hAnsi="Times New Roman"/>
                <w:vertAlign w:val="subscript"/>
                <w:lang w:eastAsia="ru-RU"/>
              </w:rPr>
              <w:t>max</w:t>
            </w:r>
            <w:r w:rsidRPr="00870F9A">
              <w:rPr>
                <w:rFonts w:ascii="Times New Roman" w:eastAsia="Times New Roman" w:hAnsi="Times New Roman"/>
                <w:lang w:eastAsia="ru-RU"/>
              </w:rPr>
              <w:t xml:space="preserve"> 78 см/с.</w:t>
            </w:r>
          </w:p>
          <w:p w:rsidR="00076B48" w:rsidRPr="00870F9A" w:rsidRDefault="00076B48" w:rsidP="00C13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Сцинти</w:t>
            </w:r>
            <w:r w:rsidRPr="00870F9A">
              <w:rPr>
                <w:rFonts w:ascii="Times New Roman" w:eastAsia="Times New Roman" w:hAnsi="Times New Roman"/>
                <w:b/>
                <w:lang w:eastAsia="ru-RU"/>
              </w:rPr>
              <w:t xml:space="preserve">графия: </w:t>
            </w:r>
            <w:r w:rsidRPr="00870F9A">
              <w:rPr>
                <w:rFonts w:ascii="Times New Roman" w:eastAsia="Times New Roman" w:hAnsi="Times New Roman"/>
                <w:lang w:eastAsia="ru-RU"/>
              </w:rPr>
              <w:t>щитовидная железа правильной формы, значительно увеличена в размерах. Накопление радиофармпрепарата в железе очень активное, особенно в правой доле.</w:t>
            </w:r>
          </w:p>
          <w:p w:rsidR="00076B48" w:rsidRPr="00870F9A" w:rsidRDefault="00076B48" w:rsidP="00C13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70F9A">
              <w:rPr>
                <w:rFonts w:ascii="Times New Roman" w:eastAsia="Times New Roman" w:hAnsi="Times New Roman"/>
                <w:b/>
                <w:lang w:eastAsia="ru-RU"/>
              </w:rPr>
              <w:t>Рекомендации:</w:t>
            </w:r>
          </w:p>
          <w:p w:rsidR="00076B48" w:rsidRPr="00870F9A" w:rsidRDefault="00076B48" w:rsidP="00C13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0F9A">
              <w:rPr>
                <w:rFonts w:ascii="Times New Roman" w:eastAsia="Times New Roman" w:hAnsi="Times New Roman"/>
                <w:lang w:eastAsia="ru-RU"/>
              </w:rPr>
              <w:t>1. Проведение тиреоидэктомии с контролем возвратно-гортанны</w:t>
            </w:r>
            <w:r>
              <w:rPr>
                <w:rFonts w:ascii="Times New Roman" w:eastAsia="Times New Roman" w:hAnsi="Times New Roman"/>
                <w:lang w:eastAsia="ru-RU"/>
              </w:rPr>
              <w:t>х нервов и паращитовидных желез</w:t>
            </w:r>
          </w:p>
          <w:p w:rsidR="00076B48" w:rsidRPr="00870F9A" w:rsidRDefault="00076B48" w:rsidP="00C13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0F9A">
              <w:rPr>
                <w:rFonts w:ascii="Times New Roman" w:eastAsia="Times New Roman" w:hAnsi="Times New Roman"/>
                <w:lang w:eastAsia="ru-RU"/>
              </w:rPr>
              <w:t>2. Тирозол 20 мг 2 р/с</w:t>
            </w:r>
          </w:p>
          <w:p w:rsidR="00076B48" w:rsidRPr="00870F9A" w:rsidRDefault="00076B48" w:rsidP="00C13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0F9A">
              <w:rPr>
                <w:rFonts w:ascii="Times New Roman" w:eastAsia="Times New Roman" w:hAnsi="Times New Roman"/>
                <w:lang w:eastAsia="ru-RU"/>
              </w:rPr>
              <w:t>3. Левотироксин 75 мкг, утром за 30 минут до еды</w:t>
            </w:r>
          </w:p>
          <w:p w:rsidR="00076B48" w:rsidRPr="00870F9A" w:rsidRDefault="00076B48" w:rsidP="00C13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70F9A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  <w:r w:rsidRPr="00870F9A">
              <w:rPr>
                <w:rFonts w:ascii="Times New Roman" w:hAnsi="Times New Roman"/>
              </w:rPr>
              <w:t>Контроль ТТГ и свободного Т4 через 3 месяца для коррекции заместительной терапии</w:t>
            </w:r>
          </w:p>
        </w:tc>
        <w:tc>
          <w:tcPr>
            <w:tcW w:w="4786" w:type="dxa"/>
          </w:tcPr>
          <w:p w:rsidR="00076B48" w:rsidRPr="00870F9A" w:rsidRDefault="00076B48" w:rsidP="00C13C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C5202" w:rsidRPr="00076B48" w:rsidRDefault="000C5202" w:rsidP="00076B48"/>
    <w:sectPr w:rsidR="000C5202" w:rsidRPr="00076B48" w:rsidSect="0075747C">
      <w:headerReference w:type="default" r:id="rId7"/>
      <w:footerReference w:type="default" r:id="rId8"/>
      <w:pgSz w:w="11906" w:h="16838"/>
      <w:pgMar w:top="283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9A" w:rsidRDefault="004F7F9A" w:rsidP="00867534">
      <w:pPr>
        <w:spacing w:after="0" w:line="240" w:lineRule="auto"/>
      </w:pPr>
      <w:r>
        <w:separator/>
      </w:r>
    </w:p>
  </w:endnote>
  <w:endnote w:type="continuationSeparator" w:id="0">
    <w:p w:rsidR="004F7F9A" w:rsidRDefault="004F7F9A" w:rsidP="0086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34" w:rsidRDefault="00867534">
    <w:pPr>
      <w:pStyle w:val="aa"/>
    </w:pPr>
    <w: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9A" w:rsidRDefault="004F7F9A" w:rsidP="00867534">
      <w:pPr>
        <w:spacing w:after="0" w:line="240" w:lineRule="auto"/>
      </w:pPr>
      <w:r>
        <w:separator/>
      </w:r>
    </w:p>
  </w:footnote>
  <w:footnote w:type="continuationSeparator" w:id="0">
    <w:p w:rsidR="004F7F9A" w:rsidRDefault="004F7F9A" w:rsidP="0086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FC0" w:rsidRDefault="00076B48" w:rsidP="00330FC0">
    <w:pPr>
      <w:pStyle w:val="a8"/>
      <w:spacing w:line="240" w:lineRule="auto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9B9" w:rsidRDefault="006A3C37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:rsidR="00330FC0" w:rsidRPr="00273701" w:rsidRDefault="000C69B9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215868" w:themeColor="accent5" w:themeShade="80"/>
                              <w:lang w:eastAsia="ru-RU"/>
                            </w:rPr>
                          </w:pPr>
                          <w:r w:rsidRPr="00273701">
                            <w:rPr>
                              <w:rFonts w:ascii="Times New Roman" w:hAnsi="Times New Roman"/>
                              <w:b/>
                              <w:noProof/>
                              <w:color w:val="215868" w:themeColor="accent5" w:themeShade="80"/>
                              <w:lang w:eastAsia="ru-RU"/>
                            </w:rPr>
                            <w:t>“СТУДИЯ ПЕРЕВОДОВ”</w:t>
                          </w:r>
                        </w:p>
                        <w:p w:rsidR="00C35788" w:rsidRPr="00C35788" w:rsidRDefault="00C35788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:rsidR="00330FC0" w:rsidRPr="00BC47A5" w:rsidRDefault="00330FC0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21-А,</w:t>
                          </w:r>
                        </w:p>
                        <w:p w:rsidR="00330FC0" w:rsidRPr="006A3C37" w:rsidRDefault="00330FC0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.</w:t>
                          </w:r>
                          <w:r w:rsidR="000C69B9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:</w:t>
                          </w:r>
                          <w:r w:rsidR="00C953C6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(017) 396-11-20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, </w:t>
                          </w:r>
                          <w:r w:rsidR="00C953C6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(029) 37</w:t>
                          </w:r>
                          <w:r w:rsidR="000C69B9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7-19-24, (029) 666-19-24, </w:t>
                          </w: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факс</w:t>
                          </w:r>
                          <w:r w:rsidR="000C69B9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:</w:t>
                          </w:r>
                          <w:r w:rsidR="00C953C6"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(017) 375-08-88</w:t>
                          </w:r>
                        </w:p>
                        <w:p w:rsidR="00330FC0" w:rsidRPr="00330FC0" w:rsidRDefault="00330FC0" w:rsidP="000C69B9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="000C69B9"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:rsidR="00330FC0" w:rsidRDefault="00330FC0" w:rsidP="00330FC0">
                          <w:pPr>
                            <w:pStyle w:val="a8"/>
                            <w:spacing w:after="0" w:line="240" w:lineRule="auto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:rsidR="00C35788" w:rsidRDefault="00C35788" w:rsidP="00273701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 w:rsid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="005C2637"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:rsidR="00273701" w:rsidRDefault="00273701" w:rsidP="00273701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:rsidR="00273701" w:rsidRPr="00C35788" w:rsidRDefault="00273701" w:rsidP="00273701">
                          <w:pPr>
                            <w:pStyle w:val="a8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:rsidR="00330FC0" w:rsidRPr="00330FC0" w:rsidRDefault="00330FC0" w:rsidP="00273701">
                          <w:pPr>
                            <w:pStyle w:val="a8"/>
                            <w:spacing w:after="0" w:line="240" w:lineRule="auto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:rsidR="00330FC0" w:rsidRPr="00330FC0" w:rsidRDefault="00330FC0" w:rsidP="00330FC0">
                          <w:pPr>
                            <w:pStyle w:val="a8"/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30FC0" w:rsidRPr="00330FC0" w:rsidRDefault="00330F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2.1pt;margin-top:-25.75pt;width:413.1pt;height:1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sTgg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" stroked="f">
              <v:textbox>
                <w:txbxContent>
                  <w:p w:rsidR="000C69B9" w:rsidRDefault="006A3C37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:rsidR="00330FC0" w:rsidRPr="00273701" w:rsidRDefault="000C69B9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noProof/>
                        <w:color w:val="215868" w:themeColor="accent5" w:themeShade="80"/>
                        <w:lang w:eastAsia="ru-RU"/>
                      </w:rPr>
                    </w:pPr>
                    <w:r w:rsidRPr="00273701">
                      <w:rPr>
                        <w:rFonts w:ascii="Times New Roman" w:hAnsi="Times New Roman"/>
                        <w:b/>
                        <w:noProof/>
                        <w:color w:val="215868" w:themeColor="accent5" w:themeShade="80"/>
                        <w:lang w:eastAsia="ru-RU"/>
                      </w:rPr>
                      <w:t>“СТУДИЯ ПЕРЕВОДОВ”</w:t>
                    </w:r>
                  </w:p>
                  <w:p w:rsidR="00C35788" w:rsidRPr="00C35788" w:rsidRDefault="00C35788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:rsidR="00330FC0" w:rsidRPr="00BC47A5" w:rsidRDefault="00330FC0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21-А,</w:t>
                    </w:r>
                  </w:p>
                  <w:p w:rsidR="00330FC0" w:rsidRPr="006A3C37" w:rsidRDefault="00330FC0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.</w:t>
                    </w:r>
                    <w:r w:rsidR="000C69B9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:</w:t>
                    </w:r>
                    <w:r w:rsidR="00C953C6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(017) 396-11-20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, </w:t>
                    </w:r>
                    <w:r w:rsidR="00C953C6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(029) 37</w:t>
                    </w:r>
                    <w:r w:rsidR="000C69B9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7-19-24, (029) 666-19-24, </w:t>
                    </w: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факс</w:t>
                    </w:r>
                    <w:r w:rsidR="000C69B9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:</w:t>
                    </w:r>
                    <w:r w:rsidR="00C953C6"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(017) 375-08-88</w:t>
                    </w:r>
                  </w:p>
                  <w:p w:rsidR="00330FC0" w:rsidRPr="00330FC0" w:rsidRDefault="00330FC0" w:rsidP="000C69B9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="000C69B9"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:rsidR="00330FC0" w:rsidRDefault="00330FC0" w:rsidP="00330FC0">
                    <w:pPr>
                      <w:pStyle w:val="a8"/>
                      <w:spacing w:after="0" w:line="240" w:lineRule="auto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:rsidR="00C35788" w:rsidRDefault="00C35788" w:rsidP="00273701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 w:rsid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="005C2637"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:rsidR="00273701" w:rsidRDefault="00273701" w:rsidP="00273701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:rsidR="00273701" w:rsidRPr="00C35788" w:rsidRDefault="00273701" w:rsidP="00273701">
                    <w:pPr>
                      <w:pStyle w:val="a8"/>
                      <w:spacing w:after="0" w:line="240" w:lineRule="auto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:rsidR="00330FC0" w:rsidRPr="00330FC0" w:rsidRDefault="00330FC0" w:rsidP="00273701">
                    <w:pPr>
                      <w:pStyle w:val="a8"/>
                      <w:spacing w:after="0" w:line="240" w:lineRule="auto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:rsidR="00330FC0" w:rsidRPr="00330FC0" w:rsidRDefault="00330FC0" w:rsidP="00330FC0">
                    <w:pPr>
                      <w:pStyle w:val="a8"/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330FC0" w:rsidRPr="00330FC0" w:rsidRDefault="00330FC0"/>
                </w:txbxContent>
              </v:textbox>
            </v:shape>
          </w:pict>
        </mc:Fallback>
      </mc:AlternateContent>
    </w:r>
    <w:r w:rsidR="00B05926" w:rsidRPr="0053657E">
      <w:rPr>
        <w:rFonts w:ascii="Times New Roman" w:hAnsi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2336" behindDoc="0" locked="0" layoutInCell="1" allowOverlap="1" wp14:anchorId="6BD01623" wp14:editId="28EE405E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9" name="Рисунок 9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0FC0" w:rsidRPr="00330FC0" w:rsidRDefault="00330FC0" w:rsidP="00330FC0">
    <w:pPr>
      <w:pStyle w:val="a8"/>
      <w:spacing w:line="240" w:lineRule="auto"/>
      <w:ind w:left="-567"/>
    </w:pPr>
    <w: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8B"/>
    <w:rsid w:val="00016886"/>
    <w:rsid w:val="00076B48"/>
    <w:rsid w:val="000C5202"/>
    <w:rsid w:val="000C69B9"/>
    <w:rsid w:val="000F0CC2"/>
    <w:rsid w:val="00142A12"/>
    <w:rsid w:val="00190B9C"/>
    <w:rsid w:val="001B4DB4"/>
    <w:rsid w:val="00273701"/>
    <w:rsid w:val="00293D5C"/>
    <w:rsid w:val="00330FC0"/>
    <w:rsid w:val="003A4C7C"/>
    <w:rsid w:val="003F7031"/>
    <w:rsid w:val="00454338"/>
    <w:rsid w:val="004F7F9A"/>
    <w:rsid w:val="005170B2"/>
    <w:rsid w:val="005C2637"/>
    <w:rsid w:val="00613D12"/>
    <w:rsid w:val="006A04E2"/>
    <w:rsid w:val="006A1492"/>
    <w:rsid w:val="006A3C37"/>
    <w:rsid w:val="0075747C"/>
    <w:rsid w:val="00780E47"/>
    <w:rsid w:val="00794170"/>
    <w:rsid w:val="008563B7"/>
    <w:rsid w:val="00867534"/>
    <w:rsid w:val="00885F28"/>
    <w:rsid w:val="0089328F"/>
    <w:rsid w:val="008B4E43"/>
    <w:rsid w:val="00A01E3F"/>
    <w:rsid w:val="00AA478B"/>
    <w:rsid w:val="00AE7904"/>
    <w:rsid w:val="00B05926"/>
    <w:rsid w:val="00B07EBD"/>
    <w:rsid w:val="00B1315E"/>
    <w:rsid w:val="00BA53B6"/>
    <w:rsid w:val="00BA55D6"/>
    <w:rsid w:val="00BB0E1A"/>
    <w:rsid w:val="00BB1261"/>
    <w:rsid w:val="00BB3A43"/>
    <w:rsid w:val="00BC47A5"/>
    <w:rsid w:val="00C35788"/>
    <w:rsid w:val="00C953C6"/>
    <w:rsid w:val="00CE7A3F"/>
    <w:rsid w:val="00D41CCA"/>
    <w:rsid w:val="00D551A7"/>
    <w:rsid w:val="00DB7421"/>
    <w:rsid w:val="00E356CA"/>
    <w:rsid w:val="00E56F3C"/>
    <w:rsid w:val="00E76D49"/>
    <w:rsid w:val="00F56203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067F1"/>
  <w15:docId w15:val="{F41D753E-8AB2-4C2A-9ECF-0D5DBAF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E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C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0C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A1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67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753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67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7534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C47A5"/>
  </w:style>
  <w:style w:type="table" w:styleId="ac">
    <w:name w:val="Table Grid"/>
    <w:basedOn w:val="a1"/>
    <w:uiPriority w:val="39"/>
    <w:rsid w:val="00142A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Links>
    <vt:vector size="24" baseType="variant">
      <vt:variant>
        <vt:i4>7405668</vt:i4>
      </vt:variant>
      <vt:variant>
        <vt:i4>9</vt:i4>
      </vt:variant>
      <vt:variant>
        <vt:i4>0</vt:i4>
      </vt:variant>
      <vt:variant>
        <vt:i4>5</vt:i4>
      </vt:variant>
      <vt:variant>
        <vt:lpwstr>http://www.translate-studio.by/</vt:lpwstr>
      </vt:variant>
      <vt:variant>
        <vt:lpwstr/>
      </vt:variant>
      <vt:variant>
        <vt:i4>4259881</vt:i4>
      </vt:variant>
      <vt:variant>
        <vt:i4>6</vt:i4>
      </vt:variant>
      <vt:variant>
        <vt:i4>0</vt:i4>
      </vt:variant>
      <vt:variant>
        <vt:i4>5</vt:i4>
      </vt:variant>
      <vt:variant>
        <vt:lpwstr>mailto:order@translate-studio.by</vt:lpwstr>
      </vt:variant>
      <vt:variant>
        <vt:lpwstr/>
      </vt:variant>
      <vt:variant>
        <vt:i4>7405668</vt:i4>
      </vt:variant>
      <vt:variant>
        <vt:i4>3</vt:i4>
      </vt:variant>
      <vt:variant>
        <vt:i4>0</vt:i4>
      </vt:variant>
      <vt:variant>
        <vt:i4>5</vt:i4>
      </vt:variant>
      <vt:variant>
        <vt:lpwstr>http://www.translate-studio.by/</vt:lpwstr>
      </vt:variant>
      <vt:variant>
        <vt:lpwstr/>
      </vt:variant>
      <vt:variant>
        <vt:i4>4259881</vt:i4>
      </vt:variant>
      <vt:variant>
        <vt:i4>0</vt:i4>
      </vt:variant>
      <vt:variant>
        <vt:i4>0</vt:i4>
      </vt:variant>
      <vt:variant>
        <vt:i4>5</vt:i4>
      </vt:variant>
      <vt:variant>
        <vt:lpwstr>mailto:order@translate-studio.by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Рысенков, Студия Переводов</cp:lastModifiedBy>
  <cp:revision>3</cp:revision>
  <cp:lastPrinted>2019-08-26T12:02:00Z</cp:lastPrinted>
  <dcterms:created xsi:type="dcterms:W3CDTF">2023-02-08T07:35:00Z</dcterms:created>
  <dcterms:modified xsi:type="dcterms:W3CDTF">2023-02-08T07:35:00Z</dcterms:modified>
</cp:coreProperties>
</file>