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2547"/>
        <w:gridCol w:w="4252"/>
      </w:tblGrid>
      <w:tr w:rsidR="00EE0CE0" w:rsidRPr="00D51FA6" w14:paraId="6CE2DDF3" w14:textId="77777777" w:rsidTr="0060743A">
        <w:trPr>
          <w:trHeight w:val="70"/>
        </w:trPr>
        <w:tc>
          <w:tcPr>
            <w:tcW w:w="2547" w:type="dxa"/>
          </w:tcPr>
          <w:p w14:paraId="2A8A7056" w14:textId="77777777" w:rsidR="00EE0CE0" w:rsidRPr="00D51FA6" w:rsidRDefault="00EE0CE0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ФИО: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alias w:val="ФИО"/>
            <w:tag w:val="ФИО"/>
            <w:id w:val="-1759596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1C0452A2" w14:textId="71276072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EE0CE0" w:rsidRPr="00D51FA6" w14:paraId="492BD696" w14:textId="77777777" w:rsidTr="0060743A">
        <w:trPr>
          <w:trHeight w:val="70"/>
        </w:trPr>
        <w:tc>
          <w:tcPr>
            <w:tcW w:w="2547" w:type="dxa"/>
          </w:tcPr>
          <w:p w14:paraId="5669AFF5" w14:textId="77777777" w:rsidR="00EE0CE0" w:rsidRPr="00D51FA6" w:rsidRDefault="00EE0CE0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pl-PL"/>
            </w:rPr>
            <w:id w:val="631214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2F902D6F" w14:textId="2C153806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  <w:lang w:val="pl-PL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EE0CE0" w:rsidRPr="00D51FA6" w14:paraId="6AD92945" w14:textId="77777777" w:rsidTr="0060743A">
        <w:tc>
          <w:tcPr>
            <w:tcW w:w="2547" w:type="dxa"/>
          </w:tcPr>
          <w:p w14:paraId="31D41B79" w14:textId="19BDA3E9" w:rsidR="00EE0CE0" w:rsidRPr="00D51FA6" w:rsidRDefault="00CD50EC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Номер телефона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-19180846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312EC8C6" w14:textId="45184347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14:paraId="28113800" w14:textId="77777777" w:rsidR="00EE0CE0" w:rsidRPr="00D51FA6" w:rsidRDefault="00EE0CE0" w:rsidP="0060743A">
      <w:pPr>
        <w:rPr>
          <w:rFonts w:ascii="Arial" w:hAnsi="Arial" w:cs="Arial"/>
          <w:sz w:val="20"/>
          <w:szCs w:val="20"/>
        </w:rPr>
      </w:pPr>
    </w:p>
    <w:p w14:paraId="379E1C43" w14:textId="68D2D7A8" w:rsidR="00EE0CE0" w:rsidRPr="00D51FA6" w:rsidRDefault="00EE0CE0" w:rsidP="0060743A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Данное задание является тестовым и используется только для оценки Ваших навыков перевода и уровня владения языком. Выполненные тесты не используются в коммерческих целях, не рецензируются и не оплачиваются. Исправленные тесты или образцы правильно выполненных работ не предоставляются. Компания сообщает только о том, справились Вы с тестом или нет. Результаты тестирования не обсуждаются и не подлежат пересмотру.</w:t>
      </w:r>
    </w:p>
    <w:p w14:paraId="2286329E" w14:textId="77777777" w:rsidR="00E25325" w:rsidRDefault="00E25325" w:rsidP="0081397C">
      <w:pPr>
        <w:jc w:val="both"/>
        <w:rPr>
          <w:rFonts w:ascii="Arial" w:hAnsi="Arial" w:cs="Arial"/>
          <w:b/>
          <w:iCs/>
          <w:color w:val="FF0000"/>
          <w:sz w:val="20"/>
          <w:szCs w:val="20"/>
          <w:u w:val="single"/>
        </w:rPr>
      </w:pPr>
      <w:r w:rsidRPr="00E25325">
        <w:rPr>
          <w:rFonts w:ascii="Arial" w:hAnsi="Arial" w:cs="Arial"/>
          <w:b/>
          <w:iCs/>
          <w:color w:val="FF0000"/>
          <w:sz w:val="20"/>
          <w:szCs w:val="20"/>
          <w:u w:val="single"/>
        </w:rPr>
        <w:t>Использование средств машинного перевода (сервиса «Google Переводчик» и других аналогичных программ/инструментов, включая нейросети) строго запрещено. Нам необходимо максимально объективно оценить Ваши собственные знания и навыки перевода, а не умение пользоваться подобными технологиями. Машинный перевод легко отслеживается и выявляется, поэтому в случае его обнаружения в Вашем тестовом переводе Вы автоматически получите отказ без права на вторую попытку выполнения тестового задания. Надеемся на Ваше благоразумие и благодарим за понимание.</w:t>
      </w:r>
    </w:p>
    <w:p w14:paraId="47AEFC06" w14:textId="4BFF7707" w:rsidR="00EE0CE0" w:rsidRPr="00D51FA6" w:rsidRDefault="00EE0CE0" w:rsidP="0060743A">
      <w:pPr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Советы выполняющим тест:</w:t>
      </w:r>
    </w:p>
    <w:p w14:paraId="1F07492C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не спешите, важно выполнить тест не быстро, а качественно;</w:t>
      </w:r>
    </w:p>
    <w:p w14:paraId="758EF266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сначала прочитайте весь текст, чтобы понять, о чем речь;</w:t>
      </w:r>
    </w:p>
    <w:p w14:paraId="07F635F5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если текст для Вас слишком сложен, лучше откажитесь от его перевода;</w:t>
      </w:r>
    </w:p>
    <w:p w14:paraId="0B80B812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следите за тем, чтобы перевод был максимально точным и адекватным;</w:t>
      </w:r>
    </w:p>
    <w:p w14:paraId="642249A0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проверяйте значения слов в словарях и справочниках;</w:t>
      </w:r>
    </w:p>
    <w:p w14:paraId="126F7D15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после выполнения тестового перевода проверьте его на наличие опечаток и мелких ошибок;</w:t>
      </w:r>
    </w:p>
    <w:p w14:paraId="5A1E4F11" w14:textId="37AB5C2C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убедитесь, что все термины переведены единообразно, а стиль соответствует жанру текста;</w:t>
      </w:r>
    </w:p>
    <w:p w14:paraId="43FBDA87" w14:textId="02DF46B6" w:rsidR="005673C3" w:rsidRDefault="005673C3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 xml:space="preserve">можно выполнять тестовое 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задание </w:t>
      </w:r>
      <w:r w:rsidRPr="00D51FA6">
        <w:rPr>
          <w:rFonts w:ascii="Arial" w:hAnsi="Arial" w:cs="Arial"/>
          <w:b/>
          <w:iCs/>
          <w:sz w:val="20"/>
          <w:szCs w:val="20"/>
        </w:rPr>
        <w:t xml:space="preserve">только в одном направлении, например с 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иностранного </w:t>
      </w:r>
      <w:r w:rsidRPr="00D51FA6">
        <w:rPr>
          <w:rFonts w:ascii="Arial" w:hAnsi="Arial" w:cs="Arial"/>
          <w:b/>
          <w:iCs/>
          <w:sz w:val="20"/>
          <w:szCs w:val="20"/>
        </w:rPr>
        <w:t>языка на русский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 язык</w:t>
      </w:r>
      <w:r w:rsidR="009D31F7">
        <w:rPr>
          <w:rFonts w:ascii="Arial" w:hAnsi="Arial" w:cs="Arial"/>
          <w:b/>
          <w:iCs/>
          <w:sz w:val="20"/>
          <w:szCs w:val="20"/>
        </w:rPr>
        <w:t>;</w:t>
      </w:r>
    </w:p>
    <w:p w14:paraId="4AA875E7" w14:textId="2658232D" w:rsidR="009D31F7" w:rsidRPr="00D51FA6" w:rsidRDefault="009D31F7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в</w:t>
      </w:r>
      <w:r w:rsidRPr="009D31F7">
        <w:rPr>
          <w:rFonts w:ascii="Arial" w:hAnsi="Arial" w:cs="Arial"/>
          <w:b/>
          <w:iCs/>
          <w:sz w:val="20"/>
          <w:szCs w:val="20"/>
        </w:rPr>
        <w:t>ыполняйте перевод самостоятельно.</w:t>
      </w:r>
    </w:p>
    <w:p w14:paraId="373CD135" w14:textId="77777777" w:rsidR="00EE0CE0" w:rsidRDefault="00EE0CE0" w:rsidP="00975AC2">
      <w:pPr>
        <w:spacing w:line="0" w:lineRule="atLeast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br w:type="page"/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4"/>
        <w:gridCol w:w="4805"/>
      </w:tblGrid>
      <w:tr w:rsidR="00C70508" w:rsidRPr="00C70508" w14:paraId="6F78DA7B" w14:textId="77777777" w:rsidTr="00DD11F0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EFEB50F" w14:textId="77777777" w:rsidR="00C70508" w:rsidRPr="00C70508" w:rsidRDefault="00C70508" w:rsidP="00DD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705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C74FF74" w14:textId="77777777" w:rsidR="00C70508" w:rsidRPr="00C70508" w:rsidRDefault="00C70508" w:rsidP="00DD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705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Перевод</w:t>
            </w:r>
          </w:p>
        </w:tc>
      </w:tr>
      <w:tr w:rsidR="00C70508" w:rsidRPr="00C70508" w14:paraId="27F10C96" w14:textId="77777777" w:rsidTr="00DD11F0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C9E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Each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pre-filled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syringe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of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3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ml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contains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33.3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mg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icatibant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acetate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equivalent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to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30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mg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icatibant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.</w:t>
            </w:r>
          </w:p>
          <w:p w14:paraId="041F1DA9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</w:p>
          <w:p w14:paraId="38C1A214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Each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ml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of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the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solution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contains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10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mg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of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icatibant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.</w:t>
            </w:r>
          </w:p>
          <w:p w14:paraId="7773B041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</w:p>
          <w:p w14:paraId="2C3DA965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>The drug product</w:t>
            </w:r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indicated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for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symptomatic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treatment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of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acute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attacks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of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hereditary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angioedema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 xml:space="preserve"> (HAE)</w:t>
            </w:r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adults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.</w:t>
            </w:r>
          </w:p>
          <w:p w14:paraId="5498643A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</w:p>
          <w:p w14:paraId="7549EB6B" w14:textId="77777777" w:rsidR="00C70508" w:rsidRPr="00C70508" w:rsidRDefault="00C70508" w:rsidP="00DD11F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>Pharmacodynamic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>properties</w:t>
            </w:r>
            <w:proofErr w:type="spellEnd"/>
          </w:p>
          <w:p w14:paraId="2FD96CB8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The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pharmacokinetics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of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icatibant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has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been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extensively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characterized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by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studies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using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both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intravenous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and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subcutaneous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administration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to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healthy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volunteers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and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patients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. The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pharmacokinetic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profile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of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icatibant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patients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with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HAE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similar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to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that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healthy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volunteers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.</w:t>
            </w:r>
          </w:p>
          <w:p w14:paraId="432CAAA2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</w:p>
          <w:p w14:paraId="239ACFE3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 xml:space="preserve">In healthy young subjects,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>icatibant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 xml:space="preserve"> administered in doses of 0.8 mg/kg over 4 hours; 1.5 mg/kg/day or 0.15 mg/kg/day for 3 days, development of bradykinin-induced hypotension, vasodilatation and reflex tachycardia was prevented.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>Icatibant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 xml:space="preserve"> was shown to be a competitive antagonist when the bradykinin challenge dose was increased 4-fold.</w:t>
            </w:r>
          </w:p>
          <w:p w14:paraId="0525F270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</w:p>
          <w:p w14:paraId="1BD2644B" w14:textId="77777777" w:rsidR="00C70508" w:rsidRPr="00C70508" w:rsidRDefault="00C70508" w:rsidP="00DD11F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>Interaction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>with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>other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>medicinal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>products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>and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>other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>forms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>of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>interaction</w:t>
            </w:r>
            <w:proofErr w:type="spellEnd"/>
          </w:p>
          <w:p w14:paraId="715E4E29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Pharmacokinetic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drug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interactions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involving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CYP450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are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not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expected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.</w:t>
            </w:r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 xml:space="preserve"> </w:t>
            </w:r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Co-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administration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of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the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drug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product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with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ACE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inhibitors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has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not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been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studied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. ACE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inhibitors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are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contraindicated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HAE</w:t>
            </w:r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patients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due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to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possible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enhancement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of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bradykinin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levels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.</w:t>
            </w:r>
          </w:p>
          <w:p w14:paraId="49E96E95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</w:p>
          <w:p w14:paraId="1B44355B" w14:textId="77777777" w:rsidR="00C70508" w:rsidRPr="00C70508" w:rsidRDefault="00C70508" w:rsidP="00DD11F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>Pharmacokinetic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0"/>
                <w:szCs w:val="20"/>
                <w:lang w:bidi="en-US"/>
              </w:rPr>
              <w:t>properties</w:t>
            </w:r>
            <w:proofErr w:type="spellEnd"/>
          </w:p>
          <w:p w14:paraId="22BF94C4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i/>
                <w:i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C70508">
              <w:rPr>
                <w:rFonts w:ascii="Times New Roman" w:eastAsia="Microsoft Sans Serif" w:hAnsi="Times New Roman" w:cs="Microsoft Sans Serif"/>
                <w:i/>
                <w:iCs/>
                <w:color w:val="000000"/>
                <w:sz w:val="20"/>
                <w:szCs w:val="20"/>
                <w:lang w:bidi="en-US"/>
              </w:rPr>
              <w:t>Absorption</w:t>
            </w:r>
            <w:proofErr w:type="spellEnd"/>
          </w:p>
          <w:p w14:paraId="2ABAD93A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Following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subcutaneous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administration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the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absolute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bioavailability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of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icatibant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97%. The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time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to</w:t>
            </w:r>
            <w:proofErr w:type="spellEnd"/>
          </w:p>
          <w:p w14:paraId="5D2C5E7C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maximum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concentration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approximately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0.5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hours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.</w:t>
            </w:r>
          </w:p>
          <w:p w14:paraId="0A31A1C7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</w:p>
          <w:p w14:paraId="2D1803E5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i/>
                <w:iCs/>
                <w:color w:val="000000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i/>
                <w:iCs/>
                <w:color w:val="000000"/>
                <w:sz w:val="20"/>
                <w:szCs w:val="20"/>
                <w:lang w:bidi="en-US"/>
              </w:rPr>
              <w:t>Distribution</w:t>
            </w:r>
          </w:p>
          <w:p w14:paraId="0D5A2F4D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i/>
                <w:iCs/>
                <w:color w:val="000000"/>
                <w:sz w:val="20"/>
                <w:szCs w:val="20"/>
                <w:lang w:bidi="en-US"/>
              </w:rPr>
            </w:pPr>
          </w:p>
          <w:p w14:paraId="57D55EE9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Icatibant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volume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of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distribution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(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Vss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)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about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30 L.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Plasma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protein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binding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44%.</w:t>
            </w:r>
          </w:p>
          <w:p w14:paraId="2FA6E47E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i/>
                <w:i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C70508">
              <w:rPr>
                <w:rFonts w:ascii="Times New Roman" w:eastAsia="Microsoft Sans Serif" w:hAnsi="Times New Roman" w:cs="Microsoft Sans Serif"/>
                <w:i/>
                <w:iCs/>
                <w:color w:val="000000"/>
                <w:sz w:val="20"/>
                <w:szCs w:val="20"/>
                <w:lang w:bidi="en-US"/>
              </w:rPr>
              <w:t>Elimination</w:t>
            </w:r>
            <w:proofErr w:type="spellEnd"/>
          </w:p>
          <w:p w14:paraId="30987311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Icatibant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mainly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eliminated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by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metabolism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with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less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than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10%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of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the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dose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eliminated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the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urine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unchanged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drug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.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Clearance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about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15 l/h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and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independent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of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dose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. The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terminal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half-life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about</w:t>
            </w:r>
            <w:proofErr w:type="spellEnd"/>
          </w:p>
          <w:p w14:paraId="63831CFA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3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hours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.</w:t>
            </w:r>
          </w:p>
          <w:p w14:paraId="37FB9FCD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i/>
                <w:i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C70508">
              <w:rPr>
                <w:rFonts w:ascii="Times New Roman" w:eastAsia="Microsoft Sans Serif" w:hAnsi="Times New Roman" w:cs="Microsoft Sans Serif"/>
                <w:i/>
                <w:iCs/>
                <w:color w:val="000000"/>
                <w:sz w:val="20"/>
                <w:szCs w:val="20"/>
                <w:lang w:bidi="en-US"/>
              </w:rPr>
              <w:t>Metabolism</w:t>
            </w:r>
            <w:proofErr w:type="spellEnd"/>
          </w:p>
          <w:p w14:paraId="4B2E546A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Icatibant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extensivel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>y</w:t>
            </w:r>
            <w:r w:rsidRPr="00C70508">
              <w:rPr>
                <w:rFonts w:ascii="TimesNewRomanPSMT" w:eastAsia="SimSun" w:hAnsi="TimesNewRomanPSMT" w:cs="TimesNewRomanPSMT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metabolized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by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proteolytic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enzymes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to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inactive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metabolites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that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are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primarily</w:t>
            </w:r>
            <w:proofErr w:type="spellEnd"/>
          </w:p>
          <w:p w14:paraId="4B693149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excreted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in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the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urine</w:t>
            </w:r>
            <w:proofErr w:type="spellEnd"/>
          </w:p>
          <w:p w14:paraId="1D94A200" w14:textId="77777777" w:rsidR="00C70508" w:rsidRPr="00C70508" w:rsidRDefault="00C70508" w:rsidP="00DD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A3BA" w14:textId="77777777" w:rsidR="00C70508" w:rsidRPr="00C70508" w:rsidRDefault="00C70508" w:rsidP="00DD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F09EA0D" w14:textId="77777777" w:rsidR="00EE0CE0" w:rsidRDefault="00EE0CE0" w:rsidP="00975AC2">
      <w:pPr>
        <w:spacing w:line="0" w:lineRule="atLeast"/>
        <w:rPr>
          <w:rFonts w:ascii="Times New Roman" w:hAnsi="Times New Roman"/>
          <w:kern w:val="36"/>
          <w:sz w:val="20"/>
          <w:szCs w:val="20"/>
          <w:lang w:eastAsia="ru-RU"/>
        </w:rPr>
      </w:pPr>
      <w:r w:rsidRPr="001F265B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br w:type="page"/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4"/>
        <w:gridCol w:w="4805"/>
      </w:tblGrid>
      <w:tr w:rsidR="00C70508" w:rsidRPr="00C70508" w14:paraId="19962598" w14:textId="77777777" w:rsidTr="00DD11F0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73473A7" w14:textId="77777777" w:rsidR="00C70508" w:rsidRPr="00C70508" w:rsidRDefault="00C70508" w:rsidP="00DD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705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245C4A8" w14:textId="77777777" w:rsidR="00C70508" w:rsidRPr="00C70508" w:rsidRDefault="00C70508" w:rsidP="00DD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705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Перевод</w:t>
            </w:r>
          </w:p>
        </w:tc>
      </w:tr>
      <w:tr w:rsidR="00C70508" w:rsidRPr="00C70508" w14:paraId="5387FDDD" w14:textId="77777777" w:rsidTr="00DD11F0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36A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i/>
                <w:iCs/>
                <w:color w:val="000000"/>
                <w:sz w:val="20"/>
                <w:szCs w:val="20"/>
                <w:lang w:bidi="en-US"/>
              </w:rPr>
              <w:t xml:space="preserve">Иммунная система </w:t>
            </w:r>
          </w:p>
          <w:p w14:paraId="4782F004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В течение 6 часов после приема первой дозы препарат вызывает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дозозависимое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снижение количества лимфоцитов в периферической крови из-за обратимого перераспределения в лимфоидных тканях.</w:t>
            </w:r>
          </w:p>
          <w:p w14:paraId="053EA060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</w:p>
          <w:p w14:paraId="4E9B2AF6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i/>
                <w:iCs/>
                <w:color w:val="000000"/>
                <w:sz w:val="20"/>
                <w:szCs w:val="20"/>
                <w:lang w:bidi="en-US"/>
              </w:rPr>
              <w:t xml:space="preserve">Ритм и частота сердечных сокращений </w:t>
            </w:r>
          </w:p>
          <w:p w14:paraId="31CC0007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В начале приема препарат вызывает временное снижение частоты сердечных сокращений (ЧСС) и замедление атриовентрикулярной проводимости </w:t>
            </w:r>
          </w:p>
          <w:p w14:paraId="7A29CC27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</w:p>
          <w:p w14:paraId="3089FC8A" w14:textId="77777777" w:rsidR="00C70508" w:rsidRPr="00C70508" w:rsidRDefault="00C70508" w:rsidP="00DD11F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b/>
                <w:bCs/>
                <w:iCs/>
                <w:color w:val="000000"/>
                <w:sz w:val="20"/>
                <w:szCs w:val="20"/>
                <w:lang w:bidi="en-US"/>
              </w:rPr>
              <w:t>ОСНОВНАЯ ЦЕЛЕВАЯ ПОПУЛЯЦИЯ</w:t>
            </w:r>
          </w:p>
          <w:p w14:paraId="38AA0416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Рекомендованная поддерживающая доза препарата составляет 2 мг 1 раз в сутки. </w:t>
            </w:r>
          </w:p>
          <w:p w14:paraId="6D6BA48B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Рекомендованная поддерживающая доза для пациентов с CYP2C9*1*3- или CYP2C9*2*3-генотипом составляет 1 мг 1 раз в сутки. У пациентов данной группы терапию начинают с той же стартовой упаковки. </w:t>
            </w:r>
          </w:p>
          <w:p w14:paraId="55945F8E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</w:p>
          <w:p w14:paraId="3822BC8D" w14:textId="77777777" w:rsidR="00C70508" w:rsidRPr="00C70508" w:rsidRDefault="00C70508" w:rsidP="00DD11F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color w:val="000000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b/>
                <w:iCs/>
                <w:color w:val="000000"/>
                <w:sz w:val="20"/>
                <w:szCs w:val="20"/>
                <w:lang w:bidi="en-US"/>
              </w:rPr>
              <w:t>ПОВТОРНОЕ НАЧАЛО ТЕРАПИИ ПРИ ПРОПУСКЕ ПОДДЕРЖИВАЮЩЕЙ ДОЗЫ</w:t>
            </w:r>
          </w:p>
          <w:p w14:paraId="27A851A1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В случае пропуска приема поддерживающей дозы препарата в течение 4 последовательных дней лечение следует начать повторно с новой стартовой упаковки. Приостановление терапии длительностью до трех дней включительно не требует повторного начала терапии с фазы титрации, лечение в таком случае продолжают в поддерживающей дозе.</w:t>
            </w:r>
          </w:p>
          <w:p w14:paraId="7F50503F" w14:textId="77777777" w:rsidR="00C70508" w:rsidRPr="00C70508" w:rsidRDefault="00C70508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</w:pPr>
          </w:p>
          <w:p w14:paraId="47237B05" w14:textId="77777777" w:rsidR="00C70508" w:rsidRPr="00C70508" w:rsidRDefault="00C70508" w:rsidP="00DD11F0">
            <w:pPr>
              <w:widowControl w:val="0"/>
              <w:spacing w:after="12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b/>
                <w:bCs/>
                <w:sz w:val="20"/>
                <w:szCs w:val="20"/>
                <w:lang w:bidi="en-US"/>
              </w:rPr>
              <w:t>ПРОТИВОПОКАЗАНИЯ</w:t>
            </w:r>
          </w:p>
          <w:p w14:paraId="37334BA7" w14:textId="77777777" w:rsidR="00C70508" w:rsidRPr="00C70508" w:rsidRDefault="00C70508" w:rsidP="00DD11F0">
            <w:pPr>
              <w:widowControl w:val="0"/>
              <w:numPr>
                <w:ilvl w:val="0"/>
                <w:numId w:val="2"/>
              </w:numPr>
              <w:spacing w:after="120" w:line="240" w:lineRule="auto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Повышенная чувствительность к действующему веществу или арахису, сое или другим вспомогательным веществам. </w:t>
            </w:r>
          </w:p>
          <w:p w14:paraId="45EA2188" w14:textId="77777777" w:rsidR="00C70508" w:rsidRPr="00C70508" w:rsidRDefault="00C70508" w:rsidP="00DD11F0">
            <w:pPr>
              <w:widowControl w:val="0"/>
              <w:numPr>
                <w:ilvl w:val="0"/>
                <w:numId w:val="2"/>
              </w:numPr>
              <w:spacing w:after="120" w:line="240" w:lineRule="auto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Синдром иммунодефицита. </w:t>
            </w:r>
          </w:p>
          <w:p w14:paraId="42152C68" w14:textId="77777777" w:rsidR="00C70508" w:rsidRPr="00C70508" w:rsidRDefault="00C70508" w:rsidP="00DD11F0">
            <w:pPr>
              <w:widowControl w:val="0"/>
              <w:numPr>
                <w:ilvl w:val="0"/>
                <w:numId w:val="2"/>
              </w:numPr>
              <w:spacing w:after="120" w:line="240" w:lineRule="auto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Прогрессирующая мультифокальная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>лейкоэнцефалопатия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 или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>криптококковый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 менингит в анамнезе. </w:t>
            </w:r>
          </w:p>
          <w:p w14:paraId="41556EFE" w14:textId="77777777" w:rsidR="00C70508" w:rsidRPr="00C70508" w:rsidRDefault="00C70508" w:rsidP="00DD11F0">
            <w:pPr>
              <w:widowControl w:val="0"/>
              <w:numPr>
                <w:ilvl w:val="0"/>
                <w:numId w:val="2"/>
              </w:numPr>
              <w:spacing w:after="120" w:line="240" w:lineRule="auto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Активные злокачественные заболевания. </w:t>
            </w:r>
          </w:p>
          <w:p w14:paraId="058FDE9E" w14:textId="77777777" w:rsidR="00C70508" w:rsidRPr="00C70508" w:rsidRDefault="00C70508" w:rsidP="00DD11F0">
            <w:pPr>
              <w:widowControl w:val="0"/>
              <w:numPr>
                <w:ilvl w:val="0"/>
                <w:numId w:val="2"/>
              </w:numPr>
              <w:spacing w:after="120" w:line="240" w:lineRule="auto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Нарушение функции печени тяжелой степени (класс С по классификации Чайлд-Пью). </w:t>
            </w:r>
          </w:p>
          <w:p w14:paraId="7B5C0CCA" w14:textId="77777777" w:rsidR="00C70508" w:rsidRPr="00C70508" w:rsidRDefault="00C70508" w:rsidP="00DD11F0">
            <w:pPr>
              <w:widowControl w:val="0"/>
              <w:numPr>
                <w:ilvl w:val="0"/>
                <w:numId w:val="2"/>
              </w:numPr>
              <w:spacing w:after="120" w:line="240" w:lineRule="auto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</w:pPr>
            <w:r w:rsidRPr="00C70508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Атриовентрикулярная блокада II и III степени типа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>Мобитц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 II, </w:t>
            </w:r>
            <w:proofErr w:type="spellStart"/>
            <w:r w:rsidRPr="00C70508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>синоатриальная</w:t>
            </w:r>
            <w:proofErr w:type="spellEnd"/>
            <w:r w:rsidRPr="00C70508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 блокада, синдром слабости синусового узла в анамнезе при отсутствии электрокардиостимулятора. </w:t>
            </w:r>
          </w:p>
          <w:p w14:paraId="1563A6D5" w14:textId="77777777" w:rsidR="00C70508" w:rsidRPr="00C70508" w:rsidRDefault="00C70508" w:rsidP="00DD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70508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>Беременность и грудное вскармливание, а также у пациенток с сохраненным репродуктивным потенциалом, не использующих контрацепцию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0030" w14:textId="77777777" w:rsidR="00C70508" w:rsidRPr="00C70508" w:rsidRDefault="00C70508" w:rsidP="00DD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D97D714" w14:textId="77777777" w:rsidR="00EE0CE0" w:rsidRPr="00D34E1B" w:rsidRDefault="00EE0CE0" w:rsidP="00975AC2">
      <w:pPr>
        <w:spacing w:after="0" w:line="0" w:lineRule="atLeast"/>
        <w:rPr>
          <w:rFonts w:ascii="Times New Roman" w:hAnsi="Times New Roman"/>
          <w:sz w:val="20"/>
          <w:szCs w:val="20"/>
          <w:lang w:val="en-US" w:eastAsia="ru-RU"/>
        </w:rPr>
      </w:pPr>
    </w:p>
    <w:p w14:paraId="6522DD53" w14:textId="77777777" w:rsidR="00EE0CE0" w:rsidRPr="00D34E1B" w:rsidRDefault="00EE0CE0" w:rsidP="00975AC2">
      <w:pPr>
        <w:spacing w:line="0" w:lineRule="atLeast"/>
        <w:rPr>
          <w:sz w:val="20"/>
          <w:szCs w:val="20"/>
          <w:lang w:val="en-US"/>
        </w:rPr>
      </w:pPr>
    </w:p>
    <w:sectPr w:rsidR="00EE0CE0" w:rsidRPr="00D34E1B" w:rsidSect="002874AD">
      <w:headerReference w:type="default" r:id="rId7"/>
      <w:pgSz w:w="11906" w:h="16838"/>
      <w:pgMar w:top="256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2250" w14:textId="77777777" w:rsidR="00F146B9" w:rsidRDefault="00F146B9" w:rsidP="00185D28">
      <w:pPr>
        <w:spacing w:after="0" w:line="240" w:lineRule="auto"/>
      </w:pPr>
      <w:r>
        <w:separator/>
      </w:r>
    </w:p>
  </w:endnote>
  <w:endnote w:type="continuationSeparator" w:id="0">
    <w:p w14:paraId="1B96262C" w14:textId="77777777" w:rsidR="00F146B9" w:rsidRDefault="00F146B9" w:rsidP="0018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9C14B" w14:textId="77777777" w:rsidR="00F146B9" w:rsidRDefault="00F146B9" w:rsidP="00185D28">
      <w:pPr>
        <w:spacing w:after="0" w:line="240" w:lineRule="auto"/>
      </w:pPr>
      <w:r>
        <w:separator/>
      </w:r>
    </w:p>
  </w:footnote>
  <w:footnote w:type="continuationSeparator" w:id="0">
    <w:p w14:paraId="6758E197" w14:textId="77777777" w:rsidR="00F146B9" w:rsidRDefault="00F146B9" w:rsidP="0018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C7A1" w14:textId="2ADABCD4" w:rsidR="00775015" w:rsidRDefault="00B01F82" w:rsidP="00775015">
    <w:pPr>
      <w:pStyle w:val="a3"/>
      <w:ind w:left="-567"/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9E2F27" wp14:editId="659F49AF">
              <wp:simplePos x="0" y="0"/>
              <wp:positionH relativeFrom="column">
                <wp:posOffset>788670</wp:posOffset>
              </wp:positionH>
              <wp:positionV relativeFrom="paragraph">
                <wp:posOffset>-327025</wp:posOffset>
              </wp:positionV>
              <wp:extent cx="5246370" cy="1458595"/>
              <wp:effectExtent l="0" t="0" r="381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6370" cy="145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3F3FB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Общество с ограниченной ответственностью</w:t>
                          </w:r>
                        </w:p>
                        <w:p w14:paraId="78C3DB04" w14:textId="77777777" w:rsidR="00775015" w:rsidRP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noProof/>
                              <w:color w:val="1F4E79"/>
                              <w:lang w:eastAsia="ru-RU"/>
                            </w:rPr>
                          </w:pPr>
                          <w:r w:rsidRPr="00775015">
                            <w:rPr>
                              <w:rFonts w:ascii="Times New Roman" w:hAnsi="Times New Roman"/>
                              <w:b/>
                              <w:noProof/>
                              <w:color w:val="1F4E79"/>
                              <w:lang w:eastAsia="ru-RU"/>
                            </w:rPr>
                            <w:t>“СТУДИЯ ПЕРЕВОДОВ”</w:t>
                          </w:r>
                        </w:p>
                        <w:p w14:paraId="0CB62BCE" w14:textId="77777777" w:rsidR="00775015" w:rsidRPr="00C35788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УНП 191177380</w:t>
                          </w:r>
                        </w:p>
                        <w:p w14:paraId="43BB4159" w14:textId="1A09FF47" w:rsidR="00775015" w:rsidRPr="00BC47A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330FC0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220004, г. Минск, ул. Сухая, 4, офис 21,</w:t>
                          </w:r>
                        </w:p>
                        <w:p w14:paraId="40C2D94A" w14:textId="59111B62" w:rsidR="00775015" w:rsidRPr="00330FC0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тел</w:t>
                          </w:r>
                          <w:r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.: 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+375 (44) 598-07-00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;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 </w:t>
                          </w: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email: </w:t>
                          </w:r>
                          <w:r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2035120@gmail.com</w:t>
                          </w: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; web: </w:t>
                          </w:r>
                          <w:r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www.translate-studio.by</w:t>
                          </w:r>
                        </w:p>
                        <w:p w14:paraId="0E16BD8F" w14:textId="77777777" w:rsidR="00775015" w:rsidRDefault="00775015" w:rsidP="00775015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val="en-US" w:eastAsia="ru-RU"/>
                            </w:rPr>
                          </w:pPr>
                        </w:p>
                        <w:p w14:paraId="1972E0FB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Р\С 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BY20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3012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2126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4300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9027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0000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ЗАО “Альфа-банк”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ул. Сурганова, 43-47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Код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ALFABY2X</w:t>
                          </w:r>
                        </w:p>
                        <w:p w14:paraId="672DC257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________________________________________________________________________________________</w:t>
                          </w:r>
                        </w:p>
                        <w:p w14:paraId="6185768B" w14:textId="77777777" w:rsidR="00775015" w:rsidRPr="00C35788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14:paraId="5821A4C3" w14:textId="77777777" w:rsidR="00775015" w:rsidRPr="00330FC0" w:rsidRDefault="00775015" w:rsidP="00775015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14:paraId="1DBAA6C2" w14:textId="77777777" w:rsidR="00775015" w:rsidRPr="00330FC0" w:rsidRDefault="00775015" w:rsidP="00775015">
                          <w:pPr>
                            <w:pStyle w:val="a3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C9C12C2" w14:textId="77777777" w:rsidR="00775015" w:rsidRPr="00330FC0" w:rsidRDefault="00775015" w:rsidP="007750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E2F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1pt;margin-top:-25.75pt;width:413.1pt;height:11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" stroked="f">
              <v:textbox>
                <w:txbxContent>
                  <w:p w14:paraId="5D53F3FB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Общество с ограниченной ответственностью</w:t>
                    </w:r>
                  </w:p>
                  <w:p w14:paraId="78C3DB04" w14:textId="77777777" w:rsidR="00775015" w:rsidRP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noProof/>
                        <w:color w:val="1F4E79"/>
                        <w:lang w:eastAsia="ru-RU"/>
                      </w:rPr>
                    </w:pPr>
                    <w:r w:rsidRPr="00775015">
                      <w:rPr>
                        <w:rFonts w:ascii="Times New Roman" w:hAnsi="Times New Roman"/>
                        <w:b/>
                        <w:noProof/>
                        <w:color w:val="1F4E79"/>
                        <w:lang w:eastAsia="ru-RU"/>
                      </w:rPr>
                      <w:t>“СТУДИЯ ПЕРЕВОДОВ”</w:t>
                    </w:r>
                  </w:p>
                  <w:p w14:paraId="0CB62BCE" w14:textId="77777777" w:rsidR="00775015" w:rsidRPr="00C35788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lang w:eastAsia="ru-RU"/>
                      </w:rPr>
                      <w:t>УНП 191177380</w:t>
                    </w:r>
                  </w:p>
                  <w:p w14:paraId="43BB4159" w14:textId="1A09FF47" w:rsidR="00775015" w:rsidRPr="00BC47A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330FC0">
                      <w:rPr>
                        <w:rFonts w:ascii="Times New Roman" w:hAnsi="Times New Roman"/>
                        <w:noProof/>
                        <w:lang w:eastAsia="ru-RU"/>
                      </w:rPr>
                      <w:t>220004, г. Минск, ул. Сухая, 4, офис 21,</w:t>
                    </w:r>
                  </w:p>
                  <w:p w14:paraId="40C2D94A" w14:textId="59111B62" w:rsidR="00775015" w:rsidRPr="00330FC0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val="en-US"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тел</w:t>
                    </w:r>
                    <w:r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.: </w:t>
                    </w:r>
                    <w:r w:rsidR="00E25325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+375 (44) 598-07-00</w:t>
                    </w:r>
                    <w:r w:rsidR="00E25325">
                      <w:rPr>
                        <w:rFonts w:ascii="Times New Roman" w:hAnsi="Times New Roman"/>
                        <w:noProof/>
                        <w:lang w:eastAsia="ru-RU"/>
                      </w:rPr>
                      <w:t>;</w:t>
                    </w:r>
                    <w:r w:rsidR="00E25325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 </w:t>
                    </w: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email: </w:t>
                    </w:r>
                    <w:r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2035120@gmail.com</w:t>
                    </w: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; web: </w:t>
                    </w:r>
                    <w:r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www.translate-studio.by</w:t>
                    </w:r>
                  </w:p>
                  <w:p w14:paraId="0E16BD8F" w14:textId="77777777" w:rsidR="00775015" w:rsidRDefault="00775015" w:rsidP="00775015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val="en-US" w:eastAsia="ru-RU"/>
                      </w:rPr>
                    </w:pPr>
                  </w:p>
                  <w:p w14:paraId="1972E0FB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Р\С 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BY20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3012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2126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4300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9027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0000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ЗАО “Альфа-банк”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ул. Сурганова, 43-47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Код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ALFABY2X</w:t>
                    </w:r>
                  </w:p>
                  <w:p w14:paraId="672DC257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________________________________________________________________________________________</w:t>
                    </w:r>
                  </w:p>
                  <w:p w14:paraId="6185768B" w14:textId="77777777" w:rsidR="00775015" w:rsidRPr="00C35788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14:paraId="5821A4C3" w14:textId="77777777" w:rsidR="00775015" w:rsidRPr="00330FC0" w:rsidRDefault="00775015" w:rsidP="00775015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14:paraId="1DBAA6C2" w14:textId="77777777" w:rsidR="00775015" w:rsidRPr="00330FC0" w:rsidRDefault="00775015" w:rsidP="00775015">
                    <w:pPr>
                      <w:pStyle w:val="a3"/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1C9C12C2" w14:textId="77777777" w:rsidR="00775015" w:rsidRPr="00330FC0" w:rsidRDefault="00775015" w:rsidP="0077501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683E77A" wp14:editId="2D91D455">
          <wp:simplePos x="0" y="0"/>
          <wp:positionH relativeFrom="column">
            <wp:posOffset>-352425</wp:posOffset>
          </wp:positionH>
          <wp:positionV relativeFrom="paragraph">
            <wp:posOffset>-231775</wp:posOffset>
          </wp:positionV>
          <wp:extent cx="1172210" cy="935990"/>
          <wp:effectExtent l="0" t="0" r="0" b="0"/>
          <wp:wrapSquare wrapText="bothSides"/>
          <wp:docPr id="4" name="Рисунок 1" descr="C:\Documents and Settings\User\Рабочий стол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\Рабочий стол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B38FC" w14:textId="6C93C677" w:rsidR="001F265B" w:rsidRPr="002874AD" w:rsidRDefault="00775015" w:rsidP="00CD50EC">
    <w:pPr>
      <w:pStyle w:val="a3"/>
      <w:ind w:left="-567"/>
    </w:pPr>
    <w:r>
      <w:t>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1"/>
    <w:multiLevelType w:val="hybridMultilevel"/>
    <w:tmpl w:val="071A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3121"/>
    <w:multiLevelType w:val="hybridMultilevel"/>
    <w:tmpl w:val="0762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B2014"/>
    <w:multiLevelType w:val="hybridMultilevel"/>
    <w:tmpl w:val="D0A2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F7AE8"/>
    <w:multiLevelType w:val="hybridMultilevel"/>
    <w:tmpl w:val="DF1A6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7E43"/>
    <w:multiLevelType w:val="hybridMultilevel"/>
    <w:tmpl w:val="3D821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67"/>
    <w:rsid w:val="00002952"/>
    <w:rsid w:val="00006968"/>
    <w:rsid w:val="00032E02"/>
    <w:rsid w:val="00042835"/>
    <w:rsid w:val="000C519F"/>
    <w:rsid w:val="000E5626"/>
    <w:rsid w:val="000E68B2"/>
    <w:rsid w:val="00122D28"/>
    <w:rsid w:val="001421E0"/>
    <w:rsid w:val="0016637B"/>
    <w:rsid w:val="00185D28"/>
    <w:rsid w:val="0019410A"/>
    <w:rsid w:val="001B2981"/>
    <w:rsid w:val="001B7C09"/>
    <w:rsid w:val="001E1749"/>
    <w:rsid w:val="001E1B50"/>
    <w:rsid w:val="001F265B"/>
    <w:rsid w:val="00222448"/>
    <w:rsid w:val="00242EF5"/>
    <w:rsid w:val="00266D02"/>
    <w:rsid w:val="002874AD"/>
    <w:rsid w:val="002F1044"/>
    <w:rsid w:val="0031462B"/>
    <w:rsid w:val="00326493"/>
    <w:rsid w:val="00330FC0"/>
    <w:rsid w:val="00335069"/>
    <w:rsid w:val="003659D6"/>
    <w:rsid w:val="00374945"/>
    <w:rsid w:val="00381547"/>
    <w:rsid w:val="003B2862"/>
    <w:rsid w:val="003B5CD5"/>
    <w:rsid w:val="003F7C5F"/>
    <w:rsid w:val="004144D9"/>
    <w:rsid w:val="00417A5B"/>
    <w:rsid w:val="00417E2E"/>
    <w:rsid w:val="00420E97"/>
    <w:rsid w:val="004272CE"/>
    <w:rsid w:val="0043528A"/>
    <w:rsid w:val="00443D75"/>
    <w:rsid w:val="00462784"/>
    <w:rsid w:val="004D2B47"/>
    <w:rsid w:val="004E473C"/>
    <w:rsid w:val="004F5EDD"/>
    <w:rsid w:val="004F761F"/>
    <w:rsid w:val="005143FB"/>
    <w:rsid w:val="00515D87"/>
    <w:rsid w:val="00521733"/>
    <w:rsid w:val="005437AD"/>
    <w:rsid w:val="00556DA2"/>
    <w:rsid w:val="005673C3"/>
    <w:rsid w:val="005B6B26"/>
    <w:rsid w:val="005C2637"/>
    <w:rsid w:val="005E000D"/>
    <w:rsid w:val="0060743A"/>
    <w:rsid w:val="00610821"/>
    <w:rsid w:val="00611A0F"/>
    <w:rsid w:val="00614DC9"/>
    <w:rsid w:val="00620F0F"/>
    <w:rsid w:val="006549BC"/>
    <w:rsid w:val="006604FB"/>
    <w:rsid w:val="0067790F"/>
    <w:rsid w:val="00687E39"/>
    <w:rsid w:val="006B2ECB"/>
    <w:rsid w:val="006D5DDD"/>
    <w:rsid w:val="006E24D8"/>
    <w:rsid w:val="007333E0"/>
    <w:rsid w:val="00740F0E"/>
    <w:rsid w:val="0074163A"/>
    <w:rsid w:val="007600B1"/>
    <w:rsid w:val="00775015"/>
    <w:rsid w:val="007772EA"/>
    <w:rsid w:val="00781789"/>
    <w:rsid w:val="0079569A"/>
    <w:rsid w:val="007C1142"/>
    <w:rsid w:val="0081397C"/>
    <w:rsid w:val="00826724"/>
    <w:rsid w:val="0084215F"/>
    <w:rsid w:val="0085193C"/>
    <w:rsid w:val="008767D5"/>
    <w:rsid w:val="0088693F"/>
    <w:rsid w:val="008F3A8E"/>
    <w:rsid w:val="00902D44"/>
    <w:rsid w:val="00920BDD"/>
    <w:rsid w:val="009439E9"/>
    <w:rsid w:val="009456BC"/>
    <w:rsid w:val="00951B33"/>
    <w:rsid w:val="00975AC2"/>
    <w:rsid w:val="00984A68"/>
    <w:rsid w:val="009B24F0"/>
    <w:rsid w:val="009B6E50"/>
    <w:rsid w:val="009C3055"/>
    <w:rsid w:val="009D31F7"/>
    <w:rsid w:val="009D7A67"/>
    <w:rsid w:val="00A3625E"/>
    <w:rsid w:val="00A43229"/>
    <w:rsid w:val="00A535A0"/>
    <w:rsid w:val="00A63647"/>
    <w:rsid w:val="00A8276B"/>
    <w:rsid w:val="00AC3FBA"/>
    <w:rsid w:val="00B01F82"/>
    <w:rsid w:val="00B02A8A"/>
    <w:rsid w:val="00B10ED5"/>
    <w:rsid w:val="00B3634F"/>
    <w:rsid w:val="00B57825"/>
    <w:rsid w:val="00B62336"/>
    <w:rsid w:val="00B85F97"/>
    <w:rsid w:val="00B8654B"/>
    <w:rsid w:val="00BA17A9"/>
    <w:rsid w:val="00BC47A5"/>
    <w:rsid w:val="00BD107B"/>
    <w:rsid w:val="00BE2F30"/>
    <w:rsid w:val="00BF1D9E"/>
    <w:rsid w:val="00BF70FA"/>
    <w:rsid w:val="00C23CC1"/>
    <w:rsid w:val="00C30E47"/>
    <w:rsid w:val="00C35788"/>
    <w:rsid w:val="00C44360"/>
    <w:rsid w:val="00C60A51"/>
    <w:rsid w:val="00C70508"/>
    <w:rsid w:val="00C820FF"/>
    <w:rsid w:val="00CD50EC"/>
    <w:rsid w:val="00CE4D71"/>
    <w:rsid w:val="00CF168F"/>
    <w:rsid w:val="00D00D8D"/>
    <w:rsid w:val="00D01AFB"/>
    <w:rsid w:val="00D34E1B"/>
    <w:rsid w:val="00D51FA6"/>
    <w:rsid w:val="00D67E72"/>
    <w:rsid w:val="00D82A5E"/>
    <w:rsid w:val="00D957D3"/>
    <w:rsid w:val="00D97606"/>
    <w:rsid w:val="00E03B4F"/>
    <w:rsid w:val="00E05353"/>
    <w:rsid w:val="00E25325"/>
    <w:rsid w:val="00E35138"/>
    <w:rsid w:val="00E63D89"/>
    <w:rsid w:val="00E73C35"/>
    <w:rsid w:val="00EA11ED"/>
    <w:rsid w:val="00EE0CE0"/>
    <w:rsid w:val="00EF3D21"/>
    <w:rsid w:val="00F146B9"/>
    <w:rsid w:val="00F30B31"/>
    <w:rsid w:val="00F53DFD"/>
    <w:rsid w:val="00F7780D"/>
    <w:rsid w:val="00F8162F"/>
    <w:rsid w:val="00FC6A8A"/>
    <w:rsid w:val="00FD3987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3A4EFF"/>
  <w15:chartTrackingRefBased/>
  <w15:docId w15:val="{A836D842-0CFE-4A9E-B678-7DEC7EF5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04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85D28"/>
    <w:rPr>
      <w:rFonts w:cs="Times New Roman"/>
    </w:rPr>
  </w:style>
  <w:style w:type="paragraph" w:styleId="a5">
    <w:name w:val="footer"/>
    <w:basedOn w:val="a"/>
    <w:link w:val="a6"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185D28"/>
    <w:rPr>
      <w:rFonts w:cs="Times New Roman"/>
    </w:rPr>
  </w:style>
  <w:style w:type="paragraph" w:styleId="a7">
    <w:name w:val="Balloon Text"/>
    <w:basedOn w:val="a"/>
    <w:link w:val="a8"/>
    <w:semiHidden/>
    <w:rsid w:val="001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185D2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85D2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874AD"/>
    <w:rPr>
      <w:rFonts w:cs="Times New Roman"/>
      <w:color w:val="0000FF"/>
      <w:u w:val="single"/>
    </w:rPr>
  </w:style>
  <w:style w:type="character" w:styleId="ab">
    <w:name w:val="annotation reference"/>
    <w:semiHidden/>
    <w:rsid w:val="00D82A5E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D82A5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semiHidden/>
    <w:locked/>
    <w:rsid w:val="00D82A5E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D82A5E"/>
    <w:rPr>
      <w:b/>
      <w:bCs/>
    </w:rPr>
  </w:style>
  <w:style w:type="character" w:customStyle="1" w:styleId="af">
    <w:name w:val="Тема примечания Знак"/>
    <w:link w:val="ae"/>
    <w:semiHidden/>
    <w:locked/>
    <w:rsid w:val="00D82A5E"/>
    <w:rPr>
      <w:rFonts w:cs="Times New Roman"/>
      <w:b/>
      <w:bCs/>
      <w:sz w:val="20"/>
      <w:szCs w:val="20"/>
    </w:rPr>
  </w:style>
  <w:style w:type="paragraph" w:customStyle="1" w:styleId="1">
    <w:name w:val="Без интервала1"/>
    <w:basedOn w:val="a"/>
    <w:link w:val="NoSpacingChar"/>
    <w:rsid w:val="00E63D89"/>
    <w:pPr>
      <w:spacing w:after="0" w:line="240" w:lineRule="auto"/>
    </w:pPr>
    <w:rPr>
      <w:rFonts w:ascii="Cambria" w:eastAsia="Calibri" w:hAnsi="Cambria"/>
      <w:lang w:val="en-US"/>
    </w:rPr>
  </w:style>
  <w:style w:type="character" w:customStyle="1" w:styleId="NoSpacingChar">
    <w:name w:val="No Spacing Char"/>
    <w:link w:val="1"/>
    <w:locked/>
    <w:rsid w:val="00E63D89"/>
    <w:rPr>
      <w:rFonts w:ascii="Cambria" w:hAnsi="Cambria" w:cs="Times New Roman"/>
      <w:lang w:val="en-US" w:eastAsia="x-none"/>
    </w:rPr>
  </w:style>
  <w:style w:type="character" w:customStyle="1" w:styleId="tw4winMark">
    <w:name w:val="tw4winMark"/>
    <w:rsid w:val="00417E2E"/>
    <w:rPr>
      <w:rFonts w:ascii="Courier New" w:hAnsi="Courier New" w:cs="Courier New"/>
      <w:vanish/>
      <w:color w:val="800080"/>
      <w:vertAlign w:val="subscript"/>
    </w:rPr>
  </w:style>
  <w:style w:type="character" w:styleId="af0">
    <w:name w:val="Placeholder Text"/>
    <w:basedOn w:val="a0"/>
    <w:uiPriority w:val="99"/>
    <w:semiHidden/>
    <w:rsid w:val="00CD50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B372B-E536-4B92-89D3-A245413A1969}"/>
      </w:docPartPr>
      <w:docPartBody>
        <w:p w:rsidR="001C03B0" w:rsidRDefault="00F411E0">
          <w:r w:rsidRPr="00F223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E0"/>
    <w:rsid w:val="001717CC"/>
    <w:rsid w:val="001C03B0"/>
    <w:rsid w:val="00437D5E"/>
    <w:rsid w:val="00CE3F8F"/>
    <w:rsid w:val="00E0450D"/>
    <w:rsid w:val="00E91528"/>
    <w:rsid w:val="00F4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11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ФИО:</vt:lpstr>
    </vt:vector>
  </TitlesOfParts>
  <Company>HOME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ФИО:</dc:title>
  <dc:subject/>
  <dc:creator>user</dc:creator>
  <cp:keywords/>
  <dc:description/>
  <cp:lastModifiedBy>I D</cp:lastModifiedBy>
  <cp:revision>2</cp:revision>
  <dcterms:created xsi:type="dcterms:W3CDTF">2024-05-22T12:13:00Z</dcterms:created>
  <dcterms:modified xsi:type="dcterms:W3CDTF">2024-05-22T12:13:00Z</dcterms:modified>
</cp:coreProperties>
</file>